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87EE9">
      <w:pPr>
        <w:spacing w:line="560" w:lineRule="exact"/>
        <w:jc w:val="center"/>
        <w:rPr>
          <w:rFonts w:hint="eastAsia" w:ascii="宋体" w:hAnsi="宋体" w:eastAsia="宋体" w:cs="Times New Roman"/>
          <w:bCs/>
          <w:sz w:val="44"/>
          <w:szCs w:val="44"/>
        </w:rPr>
      </w:pPr>
      <w:bookmarkStart w:id="0" w:name="_GoBack"/>
      <w:r>
        <w:rPr>
          <w:rFonts w:hint="eastAsia" w:ascii="宋体" w:hAnsi="宋体" w:eastAsia="宋体" w:cs="Times New Roman"/>
          <w:bCs/>
          <w:sz w:val="44"/>
          <w:szCs w:val="44"/>
        </w:rPr>
        <w:t>上海电力大学班级学风评估指标体系</w:t>
      </w:r>
      <w:bookmarkEnd w:id="0"/>
    </w:p>
    <w:p w14:paraId="7B7F7CF7">
      <w:pPr>
        <w:spacing w:line="560" w:lineRule="exact"/>
        <w:jc w:val="center"/>
        <w:rPr>
          <w:rFonts w:hint="eastAsia" w:ascii="宋体" w:hAnsi="宋体" w:eastAsia="宋体" w:cs="Times New Roman"/>
          <w:bCs/>
          <w:sz w:val="44"/>
          <w:szCs w:val="44"/>
        </w:rPr>
      </w:pPr>
    </w:p>
    <w:p w14:paraId="2BBC05C1">
      <w:pPr>
        <w:widowControl/>
        <w:spacing w:line="560" w:lineRule="exact"/>
        <w:ind w:firstLine="0" w:firstLineChars="0"/>
        <w:jc w:val="left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一、评估总分构成</w:t>
      </w:r>
    </w:p>
    <w:p w14:paraId="29BF6037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总分：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  <w:lang w:val="en-US" w:eastAsia="zh-CN"/>
        </w:rPr>
        <w:t>00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分 + 附加分（最高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分）</w:t>
      </w:r>
    </w:p>
    <w:p w14:paraId="2382C602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分为</w:t>
      </w: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班级建设维度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、</w:t>
      </w: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个人示范维度</w:t>
      </w: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两大模块，按维度量化评分、择优评选。</w:t>
      </w:r>
    </w:p>
    <w:p w14:paraId="1070E7A1">
      <w:pPr>
        <w:widowControl/>
        <w:numPr>
          <w:ilvl w:val="0"/>
          <w:numId w:val="0"/>
        </w:numPr>
        <w:spacing w:line="560" w:lineRule="exact"/>
        <w:ind w:firstLine="0" w:firstLineChars="0"/>
        <w:jc w:val="left"/>
        <w:rPr>
          <w:rFonts w:hint="eastAsia" w:ascii="黑体" w:hAnsi="黑体" w:eastAsia="黑体" w:cs="黑体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班级建设维度（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eastAsia="zh-CN"/>
        </w:rPr>
        <w:t>7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0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分）</w:t>
      </w:r>
    </w:p>
    <w:p w14:paraId="5E8DADBE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default" w:ascii="方正楷体_GB2312" w:hAnsi="方正楷体_GB2312" w:eastAsia="方正楷体_GB2312" w:cs="方正楷体_GB2312"/>
          <w:b/>
          <w:bCs/>
          <w:spacing w:val="0"/>
          <w:sz w:val="32"/>
          <w:szCs w:val="32"/>
          <w:lang w:eastAsia="zh-CN"/>
        </w:rPr>
        <w:t>（</w:t>
      </w:r>
      <w:r>
        <w:rPr>
          <w:rFonts w:hint="default" w:ascii="方正楷体_GB2312" w:hAnsi="方正楷体_GB2312" w:eastAsia="方正楷体_GB2312" w:cs="方正楷体_GB2312"/>
          <w:b/>
          <w:bCs/>
          <w:spacing w:val="0"/>
          <w:sz w:val="32"/>
          <w:szCs w:val="32"/>
          <w:lang w:val="en-US" w:eastAsia="zh-CN"/>
        </w:rPr>
        <w:t>一</w:t>
      </w:r>
      <w:r>
        <w:rPr>
          <w:rFonts w:hint="default" w:ascii="方正楷体_GB2312" w:hAnsi="方正楷体_GB2312" w:eastAsia="方正楷体_GB2312" w:cs="方正楷体_GB2312"/>
          <w:b/>
          <w:bCs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/>
          <w:bCs/>
          <w:spacing w:val="0"/>
          <w:sz w:val="32"/>
          <w:szCs w:val="32"/>
        </w:rPr>
        <w:t>班级综合表现（</w:t>
      </w:r>
      <w:r>
        <w:rPr>
          <w:rFonts w:hint="eastAsia" w:ascii="方正楷体_GB2312" w:hAnsi="方正楷体_GB2312" w:eastAsia="方正楷体_GB2312" w:cs="方正楷体_GB2312"/>
          <w:b/>
          <w:bCs/>
          <w:spacing w:val="0"/>
          <w:sz w:val="32"/>
          <w:szCs w:val="32"/>
          <w:lang w:eastAsia="zh-CN"/>
        </w:rPr>
        <w:t>2</w:t>
      </w:r>
      <w:r>
        <w:rPr>
          <w:rFonts w:hint="eastAsia" w:ascii="方正楷体_GB2312" w:hAnsi="方正楷体_GB2312" w:eastAsia="方正楷体_GB2312" w:cs="方正楷体_GB2312"/>
          <w:b/>
          <w:bCs/>
          <w:spacing w:val="0"/>
          <w:sz w:val="32"/>
          <w:szCs w:val="32"/>
          <w:lang w:val="en-US" w:eastAsia="zh-CN"/>
        </w:rPr>
        <w:t>5</w:t>
      </w:r>
      <w:r>
        <w:rPr>
          <w:rFonts w:hint="default" w:ascii="方正楷体_GB2312" w:hAnsi="方正楷体_GB2312" w:eastAsia="方正楷体_GB2312" w:cs="方正楷体_GB2312"/>
          <w:b/>
          <w:bCs/>
          <w:spacing w:val="0"/>
          <w:sz w:val="32"/>
          <w:szCs w:val="32"/>
        </w:rPr>
        <w:t>分）</w:t>
      </w:r>
    </w:p>
    <w:p w14:paraId="78F4FD0F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思想政治与文明素养（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p w14:paraId="05F60433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思想积极上进，积极参加思想理论学习与教育活动；遵守校园文明规范，无违纪违规行为。</w:t>
      </w:r>
    </w:p>
    <w:p w14:paraId="24CBBD14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2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课堂学风与出勤纪律（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p w14:paraId="67124B5D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学习态度端正，课堂抬头率高，作业完成质量好；上课出勤率高，迟到、早退、旷课现象少。</w:t>
      </w:r>
    </w:p>
    <w:p w14:paraId="1788F59A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3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遵纪守法与诚信考风（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p w14:paraId="2FD19228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恪守大学生行为准则，无考试作弊、无违纪处分；主动开展诚信考试教育与志愿服务活动。</w:t>
      </w:r>
    </w:p>
    <w:p w14:paraId="2DF2A40A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4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班级文化与集体建设（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p w14:paraId="6D55380B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班级凝聚力强，集体活动丰富，制度健全、管理民主、班务公开，班干部履职到位。</w:t>
      </w:r>
    </w:p>
    <w:p w14:paraId="2190C54B">
      <w:pPr>
        <w:widowControl/>
        <w:spacing w:line="240" w:lineRule="auto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宿舍文明与安全规范（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5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p w14:paraId="604FF566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 w:val="0"/>
          <w:bCs w:val="0"/>
          <w:spacing w:val="0"/>
          <w:sz w:val="32"/>
          <w:szCs w:val="32"/>
        </w:rPr>
        <w:t>宿舍卫生整洁，无违章电器使用，成员团结互助，寝室文明达标。</w:t>
      </w:r>
    </w:p>
    <w:p w14:paraId="5F0D29EC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学业成绩核心指标（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3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0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分）</w:t>
      </w:r>
    </w:p>
    <w:p w14:paraId="3E68A883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班级平均学分绩点（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tbl>
      <w:tblPr>
        <w:tblStyle w:val="4"/>
        <w:tblW w:w="9282" w:type="dxa"/>
        <w:tblInd w:w="2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320"/>
        <w:gridCol w:w="2320"/>
        <w:gridCol w:w="2322"/>
      </w:tblGrid>
      <w:tr w14:paraId="5C8A9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2" w:hRule="atLeast"/>
        </w:trPr>
        <w:tc>
          <w:tcPr>
            <w:tcW w:w="2320" w:type="dxa"/>
            <w:noWrap w:val="0"/>
            <w:vAlign w:val="top"/>
          </w:tcPr>
          <w:p w14:paraId="3470B2F2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≥3.2</w:t>
            </w:r>
          </w:p>
        </w:tc>
        <w:tc>
          <w:tcPr>
            <w:tcW w:w="2320" w:type="dxa"/>
            <w:noWrap w:val="0"/>
            <w:vAlign w:val="top"/>
          </w:tcPr>
          <w:p w14:paraId="1AC97073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3.1–3.0</w:t>
            </w:r>
          </w:p>
        </w:tc>
        <w:tc>
          <w:tcPr>
            <w:tcW w:w="2320" w:type="dxa"/>
            <w:noWrap w:val="0"/>
            <w:vAlign w:val="top"/>
          </w:tcPr>
          <w:p w14:paraId="47747161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2.9–2.</w:t>
            </w:r>
            <w:r>
              <w:rPr>
                <w:rFonts w:hint="eastAsia" w:ascii="仿宋_GB2312" w:eastAsia="仿宋_GB2312" w:cs="Times New Roman"/>
                <w:spacing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322" w:type="dxa"/>
            <w:noWrap w:val="0"/>
            <w:vAlign w:val="top"/>
          </w:tcPr>
          <w:p w14:paraId="35610CBA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＜2.5</w:t>
            </w:r>
          </w:p>
        </w:tc>
      </w:tr>
      <w:tr w14:paraId="7CB16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2320" w:type="dxa"/>
            <w:noWrap w:val="0"/>
            <w:vAlign w:val="top"/>
          </w:tcPr>
          <w:p w14:paraId="5E7F0290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  <w:lang w:eastAsia="zh-CN"/>
              </w:rPr>
              <w:t>1</w:t>
            </w: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分</w:t>
            </w:r>
          </w:p>
        </w:tc>
        <w:tc>
          <w:tcPr>
            <w:tcW w:w="2320" w:type="dxa"/>
            <w:noWrap w:val="0"/>
            <w:vAlign w:val="top"/>
          </w:tcPr>
          <w:p w14:paraId="5675F685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8分</w:t>
            </w:r>
          </w:p>
        </w:tc>
        <w:tc>
          <w:tcPr>
            <w:tcW w:w="2320" w:type="dxa"/>
            <w:noWrap w:val="0"/>
            <w:vAlign w:val="top"/>
          </w:tcPr>
          <w:p w14:paraId="3341E354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5分</w:t>
            </w:r>
          </w:p>
        </w:tc>
        <w:tc>
          <w:tcPr>
            <w:tcW w:w="2322" w:type="dxa"/>
            <w:noWrap w:val="0"/>
            <w:vAlign w:val="top"/>
          </w:tcPr>
          <w:p w14:paraId="64697F00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取消参评资格</w:t>
            </w:r>
          </w:p>
        </w:tc>
      </w:tr>
    </w:tbl>
    <w:p w14:paraId="776BC7F9">
      <w:pPr>
        <w:widowControl/>
        <w:numPr>
          <w:ilvl w:val="0"/>
          <w:numId w:val="0"/>
        </w:numPr>
        <w:spacing w:line="560" w:lineRule="exact"/>
        <w:ind w:firstLine="643" w:firstLineChars="200"/>
        <w:jc w:val="both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课程及格率（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tbl>
      <w:tblPr>
        <w:tblStyle w:val="4"/>
        <w:tblW w:w="9281" w:type="dxa"/>
        <w:tblInd w:w="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320"/>
        <w:gridCol w:w="2320"/>
        <w:gridCol w:w="2321"/>
      </w:tblGrid>
      <w:tr w14:paraId="2894B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320" w:type="dxa"/>
            <w:noWrap w:val="0"/>
            <w:vAlign w:val="top"/>
          </w:tcPr>
          <w:p w14:paraId="775B08C8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≥90%</w:t>
            </w:r>
          </w:p>
        </w:tc>
        <w:tc>
          <w:tcPr>
            <w:tcW w:w="2320" w:type="dxa"/>
            <w:noWrap w:val="0"/>
            <w:vAlign w:val="top"/>
          </w:tcPr>
          <w:p w14:paraId="0131BE4E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85%–89%</w:t>
            </w:r>
          </w:p>
        </w:tc>
        <w:tc>
          <w:tcPr>
            <w:tcW w:w="2320" w:type="dxa"/>
            <w:noWrap w:val="0"/>
            <w:vAlign w:val="top"/>
          </w:tcPr>
          <w:p w14:paraId="071DA99E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80%–84%</w:t>
            </w:r>
          </w:p>
        </w:tc>
        <w:tc>
          <w:tcPr>
            <w:tcW w:w="2321" w:type="dxa"/>
            <w:noWrap w:val="0"/>
            <w:vAlign w:val="top"/>
          </w:tcPr>
          <w:p w14:paraId="08BF8CE5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＜80%</w:t>
            </w:r>
          </w:p>
        </w:tc>
      </w:tr>
      <w:tr w14:paraId="07C88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0" w:type="dxa"/>
            <w:noWrap w:val="0"/>
            <w:vAlign w:val="top"/>
          </w:tcPr>
          <w:p w14:paraId="555B8BBE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10分</w:t>
            </w:r>
          </w:p>
        </w:tc>
        <w:tc>
          <w:tcPr>
            <w:tcW w:w="2320" w:type="dxa"/>
            <w:noWrap w:val="0"/>
            <w:vAlign w:val="top"/>
          </w:tcPr>
          <w:p w14:paraId="459D7C30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8分</w:t>
            </w:r>
          </w:p>
        </w:tc>
        <w:tc>
          <w:tcPr>
            <w:tcW w:w="2320" w:type="dxa"/>
            <w:noWrap w:val="0"/>
            <w:vAlign w:val="top"/>
          </w:tcPr>
          <w:p w14:paraId="70A75DE8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5分</w:t>
            </w:r>
          </w:p>
        </w:tc>
        <w:tc>
          <w:tcPr>
            <w:tcW w:w="2321" w:type="dxa"/>
            <w:noWrap w:val="0"/>
            <w:vAlign w:val="top"/>
          </w:tcPr>
          <w:p w14:paraId="1CFE7CD2">
            <w:pPr>
              <w:widowControl/>
              <w:spacing w:line="560" w:lineRule="exact"/>
              <w:ind w:firstLine="960" w:firstLineChars="3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2分</w:t>
            </w:r>
          </w:p>
        </w:tc>
      </w:tr>
    </w:tbl>
    <w:p w14:paraId="0334467D">
      <w:pPr>
        <w:widowControl/>
        <w:numPr>
          <w:ilvl w:val="0"/>
          <w:numId w:val="0"/>
        </w:numPr>
        <w:spacing w:line="560" w:lineRule="exact"/>
        <w:ind w:firstLine="643" w:firstLineChars="200"/>
        <w:jc w:val="both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成绩优良率（10 分）</w:t>
      </w:r>
    </w:p>
    <w:tbl>
      <w:tblPr>
        <w:tblStyle w:val="4"/>
        <w:tblW w:w="9323" w:type="dxa"/>
        <w:tblInd w:w="1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0"/>
        <w:gridCol w:w="2330"/>
        <w:gridCol w:w="2330"/>
        <w:gridCol w:w="2333"/>
      </w:tblGrid>
      <w:tr w14:paraId="1AAD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30" w:type="dxa"/>
            <w:noWrap w:val="0"/>
            <w:vAlign w:val="top"/>
          </w:tcPr>
          <w:p w14:paraId="5E907924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≥20%</w:t>
            </w:r>
          </w:p>
        </w:tc>
        <w:tc>
          <w:tcPr>
            <w:tcW w:w="2330" w:type="dxa"/>
            <w:noWrap w:val="0"/>
            <w:vAlign w:val="top"/>
          </w:tcPr>
          <w:p w14:paraId="21D438B4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15%–19%</w:t>
            </w:r>
          </w:p>
        </w:tc>
        <w:tc>
          <w:tcPr>
            <w:tcW w:w="2330" w:type="dxa"/>
            <w:noWrap w:val="0"/>
            <w:vAlign w:val="top"/>
          </w:tcPr>
          <w:p w14:paraId="073A30FC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10%–14%</w:t>
            </w:r>
          </w:p>
        </w:tc>
        <w:tc>
          <w:tcPr>
            <w:tcW w:w="2333" w:type="dxa"/>
            <w:noWrap w:val="0"/>
            <w:vAlign w:val="top"/>
          </w:tcPr>
          <w:p w14:paraId="67EC1238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＜10%</w:t>
            </w:r>
          </w:p>
        </w:tc>
      </w:tr>
      <w:tr w14:paraId="43530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0" w:type="dxa"/>
            <w:noWrap w:val="0"/>
            <w:vAlign w:val="top"/>
          </w:tcPr>
          <w:p w14:paraId="0F385DC0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10 分</w:t>
            </w:r>
          </w:p>
        </w:tc>
        <w:tc>
          <w:tcPr>
            <w:tcW w:w="2330" w:type="dxa"/>
            <w:noWrap w:val="0"/>
            <w:vAlign w:val="top"/>
          </w:tcPr>
          <w:p w14:paraId="5685AB10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8分</w:t>
            </w:r>
          </w:p>
        </w:tc>
        <w:tc>
          <w:tcPr>
            <w:tcW w:w="2330" w:type="dxa"/>
            <w:noWrap w:val="0"/>
            <w:vAlign w:val="top"/>
          </w:tcPr>
          <w:p w14:paraId="37AB6240">
            <w:pPr>
              <w:widowControl/>
              <w:spacing w:line="56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5分</w:t>
            </w:r>
          </w:p>
        </w:tc>
        <w:tc>
          <w:tcPr>
            <w:tcW w:w="2333" w:type="dxa"/>
            <w:noWrap w:val="0"/>
            <w:vAlign w:val="top"/>
          </w:tcPr>
          <w:p w14:paraId="5B1953D9">
            <w:pPr>
              <w:widowControl/>
              <w:spacing w:line="560" w:lineRule="exact"/>
              <w:ind w:firstLine="960" w:firstLineChars="30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2分</w:t>
            </w:r>
          </w:p>
        </w:tc>
      </w:tr>
    </w:tbl>
    <w:p w14:paraId="43F3A5A2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三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学风建设专项举措（15分）</w:t>
      </w:r>
    </w:p>
    <w:p w14:paraId="16B1A93D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班级有学风建设方案、执行记录（满一学期以上），举措有效、成效明显，按落实情况打分。</w:t>
      </w:r>
    </w:p>
    <w:p w14:paraId="771A28DD">
      <w:pPr>
        <w:widowControl/>
        <w:spacing w:before="157" w:beforeLines="50" w:line="560" w:lineRule="exact"/>
        <w:ind w:firstLine="0" w:firstLineChars="0"/>
        <w:jc w:val="left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三、个人示范维度（30 分）</w:t>
      </w:r>
    </w:p>
    <w:p w14:paraId="5719183D">
      <w:pPr>
        <w:widowControl/>
        <w:spacing w:before="157" w:beforeLines="50"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一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榜样引领与学风带动（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1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0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分）</w:t>
      </w:r>
    </w:p>
    <w:p w14:paraId="0900F4A8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班级学生骨干、优秀学生主动发挥示范作用，带动班级学习氛围，群众认可度高。</w:t>
      </w:r>
    </w:p>
    <w:p w14:paraId="4FE154F5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助学服务参与情况（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2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0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分）</w:t>
      </w:r>
    </w:p>
    <w:p w14:paraId="17D17960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校院助学活动参与情况（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1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分）</w:t>
      </w:r>
    </w:p>
    <w:p w14:paraId="597B34A1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</w:p>
    <w:tbl>
      <w:tblPr>
        <w:tblStyle w:val="4"/>
        <w:tblW w:w="9315" w:type="dxa"/>
        <w:tblInd w:w="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5"/>
        <w:gridCol w:w="3105"/>
        <w:gridCol w:w="3105"/>
      </w:tblGrid>
      <w:tr w14:paraId="2F0E3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3105" w:type="dxa"/>
            <w:noWrap w:val="0"/>
            <w:vAlign w:val="top"/>
          </w:tcPr>
          <w:p w14:paraId="31EF9600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3名以上同学参与</w:t>
            </w:r>
          </w:p>
        </w:tc>
        <w:tc>
          <w:tcPr>
            <w:tcW w:w="3105" w:type="dxa"/>
            <w:noWrap w:val="0"/>
            <w:vAlign w:val="top"/>
          </w:tcPr>
          <w:p w14:paraId="5581B2DA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1–2名同学参与</w:t>
            </w:r>
          </w:p>
        </w:tc>
        <w:tc>
          <w:tcPr>
            <w:tcW w:w="3105" w:type="dxa"/>
            <w:noWrap w:val="0"/>
            <w:vAlign w:val="top"/>
          </w:tcPr>
          <w:p w14:paraId="44E4477B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无人参与</w:t>
            </w:r>
          </w:p>
        </w:tc>
      </w:tr>
      <w:tr w14:paraId="413DA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5" w:type="dxa"/>
            <w:noWrap w:val="0"/>
            <w:vAlign w:val="top"/>
          </w:tcPr>
          <w:p w14:paraId="58EDDBB6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10</w:t>
            </w: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  <w:lang w:val="en-US" w:eastAsia="zh-CN"/>
              </w:rPr>
              <w:t>分</w:t>
            </w:r>
          </w:p>
        </w:tc>
        <w:tc>
          <w:tcPr>
            <w:tcW w:w="3105" w:type="dxa"/>
            <w:noWrap w:val="0"/>
            <w:vAlign w:val="top"/>
          </w:tcPr>
          <w:p w14:paraId="14EE0AC0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  <w:lang w:eastAsia="zh-CN"/>
              </w:rPr>
              <w:t>5</w:t>
            </w: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分</w:t>
            </w:r>
          </w:p>
        </w:tc>
        <w:tc>
          <w:tcPr>
            <w:tcW w:w="3105" w:type="dxa"/>
            <w:noWrap w:val="0"/>
            <w:vAlign w:val="top"/>
          </w:tcPr>
          <w:p w14:paraId="57EA4871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sz w:val="32"/>
                <w:szCs w:val="32"/>
              </w:rPr>
              <w:t>0分</w:t>
            </w:r>
          </w:p>
        </w:tc>
      </w:tr>
    </w:tbl>
    <w:p w14:paraId="3C0E9F19">
      <w:pPr>
        <w:widowControl/>
        <w:spacing w:line="560" w:lineRule="exact"/>
        <w:ind w:firstLine="643" w:firstLineChars="200"/>
        <w:jc w:val="left"/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eastAsia="zh-CN"/>
        </w:rPr>
        <w:t>2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/>
          <w:bCs/>
          <w:spacing w:val="0"/>
          <w:sz w:val="32"/>
          <w:szCs w:val="32"/>
        </w:rPr>
        <w:t>班级助学服务与朋辈帮扶实效（10 分）</w:t>
      </w:r>
    </w:p>
    <w:p w14:paraId="23BB09CB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班级内部常态化开展学业答疑、学习互助、经验分享、期末辅导等活动；有完整记录、签到、反馈与成效证明，按落实质量打分。</w:t>
      </w:r>
    </w:p>
    <w:p w14:paraId="24B854EF">
      <w:pPr>
        <w:widowControl/>
        <w:spacing w:line="560" w:lineRule="exact"/>
        <w:ind w:firstLine="0" w:firstLineChars="0"/>
        <w:jc w:val="left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四、附加分（最高 10 分，直接计入总分）</w:t>
      </w:r>
    </w:p>
    <w:p w14:paraId="12600FEE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一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科技创新与学科竞赛（0–3 分）</w:t>
      </w:r>
    </w:p>
    <w:p w14:paraId="22FA70C1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按校级及以上参与、获奖人次与等级计分。</w:t>
      </w:r>
    </w:p>
    <w:p w14:paraId="765A96AA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二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学术论文与成果（0–2 分）</w:t>
      </w:r>
    </w:p>
    <w:p w14:paraId="464ACDD1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正式出版物发表文章、学术作品、专利等，署名上海电力大学。</w:t>
      </w:r>
    </w:p>
    <w:p w14:paraId="2A91F1E0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三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文体活动与志愿服务（0–2 分）</w:t>
      </w:r>
    </w:p>
    <w:p w14:paraId="0E96757A">
      <w:pPr>
        <w:widowControl/>
        <w:spacing w:line="560" w:lineRule="exact"/>
        <w:ind w:firstLine="640" w:firstLineChars="200"/>
        <w:jc w:val="left"/>
        <w:rPr>
          <w:rFonts w:hint="eastAsia" w:ascii="仿宋_GB2312" w:hAnsi="Calibri" w:eastAsia="仿宋_GB2312" w:cs="Times New Roman"/>
          <w:spacing w:val="0"/>
          <w:sz w:val="32"/>
          <w:szCs w:val="32"/>
        </w:rPr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在校级及以上文体、志愿活动中获奖或表现突出。</w:t>
      </w:r>
    </w:p>
    <w:p w14:paraId="19FBDE22">
      <w:pPr>
        <w:widowControl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spacing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val="en-US" w:eastAsia="zh-CN"/>
        </w:rPr>
        <w:t>四</w:t>
      </w:r>
      <w:r>
        <w:rPr>
          <w:rFonts w:hint="eastAsia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方正楷体_GB2312" w:hAnsi="方正楷体_GB2312" w:eastAsia="方正楷体_GB2312" w:cs="方正楷体_GB2312"/>
          <w:b w:val="0"/>
          <w:bCs w:val="0"/>
          <w:spacing w:val="0"/>
          <w:sz w:val="32"/>
          <w:szCs w:val="32"/>
        </w:rPr>
        <w:t>学风特色与示范推广（0–3 分）</w:t>
      </w:r>
    </w:p>
    <w:p w14:paraId="60878A2F">
      <w:pPr>
        <w:widowControl/>
        <w:spacing w:line="560" w:lineRule="exact"/>
        <w:ind w:firstLine="640" w:firstLineChars="200"/>
        <w:jc w:val="left"/>
      </w:pPr>
      <w:r>
        <w:rPr>
          <w:rFonts w:hint="eastAsia" w:ascii="仿宋_GB2312" w:hAnsi="Calibri" w:eastAsia="仿宋_GB2312" w:cs="Times New Roman"/>
          <w:spacing w:val="0"/>
          <w:sz w:val="32"/>
          <w:szCs w:val="32"/>
        </w:rPr>
        <w:t>学风建设有品牌、有亮点，可复制、可推广，成效显著。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9464F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F41FF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F41FF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C81BAB"/>
    <w:rsid w:val="3EC8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2026-10-30T09:59:00Z</dcterms:created>
  <dc:creator>Shirley</dc:creator>
  <cp:lastModifiedBy>Shirley</cp:lastModifiedBy>
  <dcterms:modified xsi:type="dcterms:W3CDTF">2026-10-30T10:00:17Z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7C5BDA5D5A744662892A03AF578A0197_11</vt:lpwstr>
  </property>
  <property fmtid="{D5CDD505-2E9C-101B-9397-08002B2CF9AE}" pid="4" name="KSOTemplateDocerSaveRecord">
    <vt:lpwstr>eyJoZGlkIjoiOGJmMDA2NGQyMzZlNjM5MzA0YmFjNTc5NjdkZmMxODQiLCJ1c2VySWQiOiI3MzAzMjU3ODAifQ==</vt:lpwstr>
  </property>
</Properties>
</file>